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992" w:rsidRDefault="00087992" w:rsidP="00087992">
      <w:pPr>
        <w:spacing w:after="383"/>
        <w:ind w:left="0" w:firstLine="0"/>
        <w:rPr>
          <w:rFonts w:ascii="Century" w:eastAsia="Century" w:hAnsi="Century" w:cs="Century"/>
        </w:rPr>
      </w:pPr>
      <w:bookmarkStart w:id="0" w:name="_GoBack"/>
      <w:bookmarkEnd w:id="0"/>
    </w:p>
    <w:p w:rsidR="00087992" w:rsidRPr="00087992" w:rsidRDefault="00746A0B" w:rsidP="00087992">
      <w:pPr>
        <w:spacing w:after="383" w:line="240" w:lineRule="auto"/>
        <w:ind w:left="0" w:firstLine="0"/>
        <w:jc w:val="center"/>
        <w:rPr>
          <w:b/>
          <w:sz w:val="28"/>
        </w:rPr>
      </w:pPr>
      <w:r w:rsidRPr="00087992">
        <w:rPr>
          <w:b/>
          <w:sz w:val="28"/>
        </w:rPr>
        <w:t>院外処方箋疑義照会</w:t>
      </w:r>
      <w:r w:rsidR="00155451">
        <w:rPr>
          <w:rFonts w:hint="eastAsia"/>
          <w:b/>
          <w:sz w:val="28"/>
        </w:rPr>
        <w:t>簡略化</w:t>
      </w:r>
      <w:r w:rsidRPr="00087992">
        <w:rPr>
          <w:b/>
          <w:sz w:val="28"/>
        </w:rPr>
        <w:t>プロトコル</w:t>
      </w:r>
    </w:p>
    <w:p w:rsidR="0099269A" w:rsidRPr="00087992" w:rsidRDefault="00746A0B" w:rsidP="00087992">
      <w:pPr>
        <w:spacing w:after="383" w:line="240" w:lineRule="auto"/>
        <w:ind w:left="0" w:firstLine="0"/>
        <w:jc w:val="center"/>
        <w:rPr>
          <w:b/>
          <w:sz w:val="28"/>
        </w:rPr>
      </w:pPr>
      <w:r w:rsidRPr="00087992">
        <w:rPr>
          <w:b/>
          <w:sz w:val="28"/>
        </w:rPr>
        <w:t>～処方変更ルールについて～</w:t>
      </w:r>
    </w:p>
    <w:p w:rsidR="00087992" w:rsidRPr="00087992" w:rsidRDefault="000A2FAE" w:rsidP="00087992">
      <w:pPr>
        <w:spacing w:after="383" w:line="240" w:lineRule="auto"/>
        <w:ind w:left="0" w:firstLine="0"/>
        <w:jc w:val="right"/>
        <w:rPr>
          <w:sz w:val="24"/>
        </w:rPr>
      </w:pPr>
      <w:r>
        <w:rPr>
          <w:rFonts w:hint="eastAsia"/>
          <w:sz w:val="24"/>
        </w:rPr>
        <w:t>2023</w:t>
      </w:r>
      <w:r w:rsidR="00087992" w:rsidRPr="00087992">
        <w:rPr>
          <w:rFonts w:hint="eastAsia"/>
          <w:sz w:val="24"/>
        </w:rPr>
        <w:t>年</w:t>
      </w:r>
      <w:r>
        <w:rPr>
          <w:rFonts w:hint="eastAsia"/>
          <w:sz w:val="24"/>
        </w:rPr>
        <w:t>１</w:t>
      </w:r>
      <w:r w:rsidR="00087992" w:rsidRPr="00087992">
        <w:rPr>
          <w:rFonts w:hint="eastAsia"/>
          <w:sz w:val="24"/>
        </w:rPr>
        <w:t>月</w:t>
      </w:r>
    </w:p>
    <w:p w:rsidR="0099269A" w:rsidRDefault="00746A0B" w:rsidP="00087992">
      <w:pPr>
        <w:pStyle w:val="2"/>
        <w:spacing w:after="12" w:line="240" w:lineRule="auto"/>
        <w:ind w:left="-5"/>
      </w:pPr>
      <w:r>
        <w:rPr>
          <w:rFonts w:ascii="ＭＳ 明朝" w:eastAsia="ＭＳ 明朝" w:hAnsi="ＭＳ 明朝" w:cs="ＭＳ 明朝"/>
        </w:rPr>
        <w:t>1．</w:t>
      </w:r>
      <w:r>
        <w:t xml:space="preserve">変更調剤が可能な事例 </w:t>
      </w:r>
    </w:p>
    <w:p w:rsidR="0099269A" w:rsidRDefault="00746A0B" w:rsidP="00087992">
      <w:pPr>
        <w:spacing w:after="245" w:line="240" w:lineRule="auto"/>
      </w:pPr>
      <w:r>
        <w:rPr>
          <w:rFonts w:ascii="ＭＳ 明朝" w:eastAsia="ＭＳ 明朝" w:hAnsi="ＭＳ 明朝" w:cs="ＭＳ 明朝"/>
        </w:rPr>
        <w:t xml:space="preserve">➡ </w:t>
      </w:r>
      <w:r>
        <w:t xml:space="preserve">FAX での報告は不要です。お薬手帳を用いてお知らせください。 </w:t>
      </w:r>
    </w:p>
    <w:p w:rsidR="0099269A" w:rsidRDefault="00746A0B" w:rsidP="00D03F14">
      <w:pPr>
        <w:numPr>
          <w:ilvl w:val="0"/>
          <w:numId w:val="1"/>
        </w:numPr>
        <w:spacing w:after="313" w:line="240" w:lineRule="auto"/>
        <w:ind w:hanging="517"/>
      </w:pPr>
      <w:r>
        <w:t xml:space="preserve">一般名処方について、同一剤形、同一規格にて調剤を行ったもの。 </w:t>
      </w:r>
    </w:p>
    <w:p w:rsidR="0099269A" w:rsidRDefault="00746A0B" w:rsidP="00D03F14">
      <w:pPr>
        <w:numPr>
          <w:ilvl w:val="0"/>
          <w:numId w:val="1"/>
        </w:numPr>
        <w:spacing w:line="240" w:lineRule="auto"/>
        <w:ind w:hanging="517"/>
      </w:pPr>
      <w:r>
        <w:t xml:space="preserve">成分名が同一の銘柄変更のうち、次のもの。 </w:t>
      </w:r>
    </w:p>
    <w:p w:rsidR="0099269A" w:rsidRDefault="00746A0B" w:rsidP="00D03F14">
      <w:pPr>
        <w:spacing w:line="240" w:lineRule="auto"/>
        <w:ind w:left="-5"/>
      </w:pPr>
      <w:r>
        <w:t xml:space="preserve">    </w:t>
      </w:r>
      <w:r w:rsidR="00D03F14">
        <w:rPr>
          <w:rFonts w:hint="eastAsia"/>
        </w:rPr>
        <w:t xml:space="preserve">　</w:t>
      </w:r>
      <w:r>
        <w:t xml:space="preserve">当該医薬品に「変更不可」の指定がある場合を除く。 </w:t>
      </w:r>
    </w:p>
    <w:p w:rsidR="0099269A" w:rsidRDefault="00746A0B" w:rsidP="00D03F14">
      <w:pPr>
        <w:numPr>
          <w:ilvl w:val="1"/>
          <w:numId w:val="1"/>
        </w:numPr>
        <w:spacing w:line="240" w:lineRule="auto"/>
        <w:ind w:hanging="420"/>
      </w:pPr>
      <w:r>
        <w:t xml:space="preserve">先発医薬品から後発医薬品への変更 </w:t>
      </w:r>
    </w:p>
    <w:p w:rsidR="0099269A" w:rsidRDefault="00746A0B" w:rsidP="00D03F14">
      <w:pPr>
        <w:numPr>
          <w:ilvl w:val="1"/>
          <w:numId w:val="1"/>
        </w:numPr>
        <w:spacing w:after="313" w:line="240" w:lineRule="auto"/>
        <w:ind w:hanging="420"/>
      </w:pPr>
      <w:r>
        <w:t xml:space="preserve">後発医薬品間での変更 </w:t>
      </w:r>
    </w:p>
    <w:p w:rsidR="0099269A" w:rsidRDefault="00746A0B" w:rsidP="00D03F14">
      <w:pPr>
        <w:numPr>
          <w:ilvl w:val="0"/>
          <w:numId w:val="1"/>
        </w:numPr>
        <w:spacing w:line="240" w:lineRule="auto"/>
        <w:ind w:hanging="517"/>
      </w:pPr>
      <w:r>
        <w:t xml:space="preserve">剤形の変更（同一のグループ内）の内、次のもの。ただし、内服に限る。 </w:t>
      </w:r>
    </w:p>
    <w:p w:rsidR="0099269A" w:rsidRDefault="00746A0B" w:rsidP="00D03F14">
      <w:pPr>
        <w:numPr>
          <w:ilvl w:val="1"/>
          <w:numId w:val="1"/>
        </w:numPr>
        <w:spacing w:line="240" w:lineRule="auto"/>
        <w:ind w:hanging="420"/>
      </w:pPr>
      <w:r>
        <w:t xml:space="preserve">先発医薬品から後発医薬品への変更 </w:t>
      </w:r>
    </w:p>
    <w:p w:rsidR="0099269A" w:rsidRDefault="00746A0B" w:rsidP="00D03F14">
      <w:pPr>
        <w:numPr>
          <w:ilvl w:val="1"/>
          <w:numId w:val="1"/>
        </w:numPr>
        <w:spacing w:line="240" w:lineRule="auto"/>
        <w:ind w:hanging="420"/>
      </w:pPr>
      <w:r>
        <w:t xml:space="preserve">後発医薬品間での変更 </w:t>
      </w:r>
    </w:p>
    <w:p w:rsidR="0099269A" w:rsidRDefault="00746A0B" w:rsidP="00D03F14">
      <w:pPr>
        <w:numPr>
          <w:ilvl w:val="1"/>
          <w:numId w:val="1"/>
        </w:numPr>
        <w:spacing w:after="313" w:line="240" w:lineRule="auto"/>
        <w:ind w:hanging="420"/>
      </w:pPr>
      <w:r>
        <w:t xml:space="preserve">一般名処方での変更 </w:t>
      </w:r>
    </w:p>
    <w:p w:rsidR="0099269A" w:rsidRDefault="00746A0B">
      <w:pPr>
        <w:ind w:left="-5"/>
      </w:pPr>
      <w:r>
        <w:t xml:space="preserve">   剤形グループ </w:t>
      </w:r>
    </w:p>
    <w:p w:rsidR="0099269A" w:rsidRDefault="00746A0B">
      <w:pPr>
        <w:ind w:left="-5"/>
      </w:pPr>
      <w:r>
        <w:t xml:space="preserve">   (ⅰ) 錠剤（普通錠、口腔内崩壊錠、粒状錠）、カプセル剤、丸剤 </w:t>
      </w:r>
    </w:p>
    <w:p w:rsidR="0099269A" w:rsidRDefault="00746A0B">
      <w:pPr>
        <w:ind w:left="-5"/>
      </w:pPr>
      <w:r>
        <w:t xml:space="preserve">   (ⅱ) 散剤、顆粒剤、細粒剤、末剤、ドライシロップ剤（内服用固形剤として調剤する場合に限る） </w:t>
      </w:r>
    </w:p>
    <w:p w:rsidR="0099269A" w:rsidRDefault="00746A0B" w:rsidP="00087992">
      <w:pPr>
        <w:ind w:left="0" w:firstLine="0"/>
      </w:pPr>
      <w:r>
        <w:t xml:space="preserve">  </w:t>
      </w:r>
    </w:p>
    <w:p w:rsidR="0099269A" w:rsidRDefault="00746A0B">
      <w:pPr>
        <w:pStyle w:val="2"/>
        <w:ind w:left="-5"/>
      </w:pPr>
      <w:r>
        <w:t>2．疑義照会等を割愛できる事例</w:t>
      </w:r>
      <w:r>
        <w:rPr>
          <w:sz w:val="21"/>
        </w:rPr>
        <w:t xml:space="preserve"> </w:t>
      </w:r>
    </w:p>
    <w:p w:rsidR="0099269A" w:rsidRDefault="00746A0B">
      <w:pPr>
        <w:spacing w:after="65"/>
        <w:ind w:left="220"/>
      </w:pPr>
      <w:r>
        <w:t xml:space="preserve">  </w:t>
      </w:r>
      <w:r>
        <w:rPr>
          <w:rFonts w:ascii="ＭＳ 明朝" w:eastAsia="ＭＳ 明朝" w:hAnsi="ＭＳ 明朝" w:cs="ＭＳ 明朝"/>
        </w:rPr>
        <w:t xml:space="preserve">➡ </w:t>
      </w:r>
      <w:r>
        <w:t xml:space="preserve"> FAX を用いてお知らせください。 </w:t>
      </w:r>
    </w:p>
    <w:p w:rsidR="0099269A" w:rsidRDefault="00746A0B" w:rsidP="00D03F14">
      <w:pPr>
        <w:spacing w:after="313" w:line="240" w:lineRule="auto"/>
        <w:ind w:left="220"/>
      </w:pPr>
      <w:r>
        <w:t xml:space="preserve">    同一内容に関する連絡は、初回のみで構いません。 </w:t>
      </w:r>
    </w:p>
    <w:p w:rsidR="0099269A" w:rsidRDefault="00746A0B">
      <w:pPr>
        <w:numPr>
          <w:ilvl w:val="0"/>
          <w:numId w:val="2"/>
        </w:numPr>
        <w:ind w:hanging="517"/>
      </w:pPr>
      <w:r>
        <w:t xml:space="preserve">銘柄の変更 </w:t>
      </w:r>
    </w:p>
    <w:p w:rsidR="0099269A" w:rsidRDefault="00746A0B">
      <w:pPr>
        <w:ind w:left="-5"/>
      </w:pPr>
      <w:r>
        <w:t xml:space="preserve">    当該医薬品に「変更不可」の指定がある場合を除く。 </w:t>
      </w:r>
      <w:r w:rsidR="00D03F14">
        <w:t>1－(2)を除く。</w:t>
      </w:r>
    </w:p>
    <w:p w:rsidR="0099269A" w:rsidRDefault="00D03F14" w:rsidP="00D03F14">
      <w:pPr>
        <w:spacing w:after="0"/>
        <w:ind w:left="0" w:firstLine="0"/>
      </w:pPr>
      <w:r>
        <w:rPr>
          <w:rFonts w:ascii="Calibri" w:eastAsia="Calibri" w:hAnsi="Calibri" w:cs="Calibri"/>
          <w:noProof/>
          <w:sz w:val="22"/>
        </w:rPr>
        <mc:AlternateContent>
          <mc:Choice Requires="wpg">
            <w:drawing>
              <wp:inline distT="0" distB="0" distL="0" distR="0" wp14:anchorId="06AB0FE2" wp14:editId="6B8D082C">
                <wp:extent cx="5527675" cy="282702"/>
                <wp:effectExtent l="0" t="0" r="0" b="3175"/>
                <wp:docPr id="878" name="Group 878"/>
                <wp:cNvGraphicFramePr/>
                <a:graphic xmlns:a="http://schemas.openxmlformats.org/drawingml/2006/main">
                  <a:graphicData uri="http://schemas.microsoft.com/office/word/2010/wordprocessingGroup">
                    <wpg:wgp>
                      <wpg:cNvGrpSpPr/>
                      <wpg:grpSpPr>
                        <a:xfrm>
                          <a:off x="0" y="0"/>
                          <a:ext cx="5527675" cy="282702"/>
                          <a:chOff x="266041" y="0"/>
                          <a:chExt cx="5938165" cy="282702"/>
                        </a:xfrm>
                      </wpg:grpSpPr>
                      <wps:wsp>
                        <wps:cNvPr id="41" name="Rectangle 41"/>
                        <wps:cNvSpPr/>
                        <wps:spPr>
                          <a:xfrm>
                            <a:off x="266041" y="72138"/>
                            <a:ext cx="4686956" cy="177356"/>
                          </a:xfrm>
                          <a:prstGeom prst="rect">
                            <a:avLst/>
                          </a:prstGeom>
                          <a:ln>
                            <a:noFill/>
                          </a:ln>
                        </wps:spPr>
                        <wps:txbx>
                          <w:txbxContent>
                            <w:p w:rsidR="00D03F14" w:rsidRDefault="00D03F14" w:rsidP="00D03F14">
                              <w:pPr>
                                <w:spacing w:after="160"/>
                                <w:ind w:left="0" w:firstLine="0"/>
                              </w:pPr>
                              <w:r>
                                <w:t xml:space="preserve">   例） ノルバスク錠5mg → アムロジン錠5mg </w:t>
                              </w:r>
                            </w:p>
                          </w:txbxContent>
                        </wps:txbx>
                        <wps:bodyPr horzOverflow="overflow" vert="horz" lIns="0" tIns="0" rIns="0" bIns="0" rtlCol="0">
                          <a:noAutofit/>
                        </wps:bodyPr>
                      </wps:wsp>
                      <wps:wsp>
                        <wps:cNvPr id="53" name="Shape 53"/>
                        <wps:cNvSpPr/>
                        <wps:spPr>
                          <a:xfrm>
                            <a:off x="339854" y="0"/>
                            <a:ext cx="2932557" cy="282702"/>
                          </a:xfrm>
                          <a:custGeom>
                            <a:avLst/>
                            <a:gdLst/>
                            <a:ahLst/>
                            <a:cxnLst/>
                            <a:rect l="0" t="0" r="0" b="0"/>
                            <a:pathLst>
                              <a:path w="2932557" h="282702">
                                <a:moveTo>
                                  <a:pt x="0" y="0"/>
                                </a:moveTo>
                                <a:lnTo>
                                  <a:pt x="2932557" y="0"/>
                                </a:lnTo>
                                <a:lnTo>
                                  <a:pt x="2932557" y="6097"/>
                                </a:lnTo>
                                <a:lnTo>
                                  <a:pt x="6858" y="6097"/>
                                </a:lnTo>
                                <a:lnTo>
                                  <a:pt x="6858" y="275844"/>
                                </a:lnTo>
                                <a:lnTo>
                                  <a:pt x="2932557" y="275844"/>
                                </a:lnTo>
                                <a:lnTo>
                                  <a:pt x="2932557" y="282702"/>
                                </a:lnTo>
                                <a:lnTo>
                                  <a:pt x="0" y="282702"/>
                                </a:lnTo>
                                <a:lnTo>
                                  <a:pt x="0" y="0"/>
                                </a:lnTo>
                                <a:close/>
                              </a:path>
                            </a:pathLst>
                          </a:custGeom>
                          <a:ln w="0" cap="flat">
                            <a:miter lim="100000"/>
                          </a:ln>
                        </wps:spPr>
                        <wps:style>
                          <a:lnRef idx="0">
                            <a:srgbClr val="000000">
                              <a:alpha val="0"/>
                            </a:srgbClr>
                          </a:lnRef>
                          <a:fillRef idx="1">
                            <a:srgbClr val="7F7F7F"/>
                          </a:fillRef>
                          <a:effectRef idx="0">
                            <a:scrgbClr r="0" g="0" b="0"/>
                          </a:effectRef>
                          <a:fontRef idx="none"/>
                        </wps:style>
                        <wps:bodyPr/>
                      </wps:wsp>
                      <wps:wsp>
                        <wps:cNvPr id="54" name="Shape 54"/>
                        <wps:cNvSpPr/>
                        <wps:spPr>
                          <a:xfrm>
                            <a:off x="3272410" y="0"/>
                            <a:ext cx="2931796" cy="282702"/>
                          </a:xfrm>
                          <a:custGeom>
                            <a:avLst/>
                            <a:gdLst/>
                            <a:ahLst/>
                            <a:cxnLst/>
                            <a:rect l="0" t="0" r="0" b="0"/>
                            <a:pathLst>
                              <a:path w="2931796" h="282702">
                                <a:moveTo>
                                  <a:pt x="0" y="0"/>
                                </a:moveTo>
                                <a:lnTo>
                                  <a:pt x="2931796" y="0"/>
                                </a:lnTo>
                                <a:lnTo>
                                  <a:pt x="2931796" y="282702"/>
                                </a:lnTo>
                                <a:lnTo>
                                  <a:pt x="0" y="282702"/>
                                </a:lnTo>
                                <a:lnTo>
                                  <a:pt x="0" y="275844"/>
                                </a:lnTo>
                                <a:lnTo>
                                  <a:pt x="2925699" y="275844"/>
                                </a:lnTo>
                                <a:lnTo>
                                  <a:pt x="2925699" y="6097"/>
                                </a:lnTo>
                                <a:lnTo>
                                  <a:pt x="0" y="6097"/>
                                </a:lnTo>
                                <a:lnTo>
                                  <a:pt x="0" y="0"/>
                                </a:lnTo>
                                <a:close/>
                              </a:path>
                            </a:pathLst>
                          </a:custGeom>
                          <a:ln w="0" cap="flat">
                            <a:miter lim="100000"/>
                          </a:ln>
                        </wps:spPr>
                        <wps:style>
                          <a:lnRef idx="0">
                            <a:srgbClr val="000000">
                              <a:alpha val="0"/>
                            </a:srgbClr>
                          </a:lnRef>
                          <a:fillRef idx="1">
                            <a:srgbClr val="7F7F7F"/>
                          </a:fillRef>
                          <a:effectRef idx="0">
                            <a:scrgbClr r="0" g="0" b="0"/>
                          </a:effectRef>
                          <a:fontRef idx="none"/>
                        </wps:style>
                        <wps:bodyPr/>
                      </wps:wsp>
                    </wpg:wgp>
                  </a:graphicData>
                </a:graphic>
              </wp:inline>
            </w:drawing>
          </mc:Choice>
          <mc:Fallback>
            <w:pict>
              <v:group w14:anchorId="06AB0FE2" id="Group 878" o:spid="_x0000_s1026" style="width:435.25pt;height:22.25pt;mso-position-horizontal-relative:char;mso-position-vertical-relative:line" coordorigin="2660" coordsize="59381,2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">
                <v:rect id="Rectangle 41" o:spid="_x0000_s1027" style="position:absolute;left:2660;top:721;width:46869;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4hsUA&#10;AADbAAAADwAAAGRycy9kb3ducmV2LnhtbESPQWvCQBSE74L/YXlCb7qxi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A3iGxQAAANsAAAAPAAAAAAAAAAAAAAAAAJgCAABkcnMv&#10;ZG93bnJldi54bWxQSwUGAAAAAAQABAD1AAAAigMAAAAA&#10;" filled="f" stroked="f">
                  <v:textbox inset="0,0,0,0">
                    <w:txbxContent>
                      <w:p w:rsidR="00D03F14" w:rsidRDefault="00D03F14" w:rsidP="00D03F14">
                        <w:pPr>
                          <w:spacing w:after="160"/>
                          <w:ind w:left="0" w:firstLine="0"/>
                        </w:pPr>
                        <w:r>
                          <w:t xml:space="preserve">   例） ノルバスク錠5mg → アムロジン錠5mg </w:t>
                        </w:r>
                      </w:p>
                    </w:txbxContent>
                  </v:textbox>
                </v:rect>
                <v:shape id="Shape 53" o:spid="_x0000_s1028" style="position:absolute;left:3398;width:29326;height:2827;visibility:visible;mso-wrap-style:square;v-text-anchor:top" coordsize="2932557,282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yhkcQA&#10;AADbAAAADwAAAGRycy9kb3ducmV2LnhtbESPQWsCMRSE7wX/Q3iCt5q1tiKrUawgtKeiVdDbc/Pc&#10;DW5eliRd13/fCIUeh5n5hpkvO1uLlnwwjhWMhhkI4sJpw6WC/ffmeQoiRGSNtWNScKcAy0XvaY65&#10;djfeUruLpUgQDjkqqGJscilDUZHFMHQNcfIuzluMSfpSao+3BLe1fMmyibRoOC1U2NC6ouK6+7EK&#10;Tn5yMMezNcXXaxuu++bz/i5PSg363WoGIlIX/8N/7Q+t4G0Mjy/pB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coZHEAAAA2wAAAA8AAAAAAAAAAAAAAAAAmAIAAGRycy9k&#10;b3ducmV2LnhtbFBLBQYAAAAABAAEAPUAAACJAwAAAAA=&#10;" path="m,l2932557,r,6097l6858,6097r,269747l2932557,275844r,6858l,282702,,xe" fillcolor="#7f7f7f" stroked="f" strokeweight="0">
                  <v:stroke miterlimit="1" joinstyle="miter"/>
                  <v:path arrowok="t" textboxrect="0,0,2932557,282702"/>
                </v:shape>
                <v:shape id="Shape 54" o:spid="_x0000_s1029" style="position:absolute;left:32724;width:29318;height:2827;visibility:visible;mso-wrap-style:square;v-text-anchor:top" coordsize="2931796,282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ERMMA&#10;AADbAAAADwAAAGRycy9kb3ducmV2LnhtbESPW2vCQBSE34X+h+UU+qabtioldZXiBcQHoenl+ZA9&#10;TUKzZ0P2JMZ/7wqCj8PMfMMsVoOrVU9tqDwbeJ4koIhzbysuDHx/7cZvoIIgW6w9k4EzBVgtH0YL&#10;TK0/8Sf1mRQqQjikaKAUaVKtQ16SwzDxDXH0/nzrUKJsC21bPEW4q/VLksy1w4rjQokNrUvK/7PO&#10;Geg3fOykm//+bNeWXg+iI6M35ulx+HgHJTTIPXxr762B2RSuX+IP0M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ERMMAAADbAAAADwAAAAAAAAAAAAAAAACYAgAAZHJzL2Rv&#10;d25yZXYueG1sUEsFBgAAAAAEAAQA9QAAAIgDAAAAAA==&#10;" path="m,l2931796,r,282702l,282702r,-6858l2925699,275844r,-269747l,6097,,xe" fillcolor="#7f7f7f" stroked="f" strokeweight="0">
                  <v:stroke miterlimit="1" joinstyle="miter"/>
                  <v:path arrowok="t" textboxrect="0,0,2931796,282702"/>
                </v:shape>
                <w10:anchorlock/>
              </v:group>
            </w:pict>
          </mc:Fallback>
        </mc:AlternateContent>
      </w:r>
    </w:p>
    <w:p w:rsidR="0099269A" w:rsidRDefault="0099269A" w:rsidP="00087992">
      <w:pPr>
        <w:spacing w:after="39"/>
        <w:ind w:left="0" w:firstLine="0"/>
      </w:pPr>
    </w:p>
    <w:p w:rsidR="0099269A" w:rsidRDefault="00746A0B">
      <w:pPr>
        <w:numPr>
          <w:ilvl w:val="0"/>
          <w:numId w:val="2"/>
        </w:numPr>
        <w:ind w:hanging="517"/>
      </w:pPr>
      <w:r>
        <w:t xml:space="preserve">剤形の変更 </w:t>
      </w:r>
    </w:p>
    <w:p w:rsidR="0099269A" w:rsidRDefault="00746A0B">
      <w:pPr>
        <w:ind w:left="-5"/>
      </w:pPr>
      <w:r>
        <w:t xml:space="preserve">    当該医薬品に「変更不可」の指定がある場合を除く。 </w:t>
      </w:r>
    </w:p>
    <w:p w:rsidR="0099269A" w:rsidRDefault="00746A0B">
      <w:pPr>
        <w:spacing w:after="313"/>
        <w:ind w:left="-5"/>
      </w:pPr>
      <w:r>
        <w:t xml:space="preserve">    内服薬かつ用法用量に変更がない場合に限る。 </w:t>
      </w:r>
    </w:p>
    <w:p w:rsidR="0099269A" w:rsidRDefault="00087992">
      <w:pPr>
        <w:ind w:left="-5"/>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column">
                  <wp:posOffset>76199</wp:posOffset>
                </wp:positionH>
                <wp:positionV relativeFrom="paragraph">
                  <wp:posOffset>-20320</wp:posOffset>
                </wp:positionV>
                <wp:extent cx="6130925" cy="454025"/>
                <wp:effectExtent l="0" t="0" r="3175" b="3175"/>
                <wp:wrapNone/>
                <wp:docPr id="876" name="Group 876"/>
                <wp:cNvGraphicFramePr/>
                <a:graphic xmlns:a="http://schemas.openxmlformats.org/drawingml/2006/main">
                  <a:graphicData uri="http://schemas.microsoft.com/office/word/2010/wordprocessingGroup">
                    <wpg:wgp>
                      <wpg:cNvGrpSpPr/>
                      <wpg:grpSpPr>
                        <a:xfrm>
                          <a:off x="0" y="0"/>
                          <a:ext cx="6130925" cy="454025"/>
                          <a:chOff x="0" y="0"/>
                          <a:chExt cx="5864352" cy="454152"/>
                        </a:xfrm>
                      </wpg:grpSpPr>
                      <wps:wsp>
                        <wps:cNvPr id="51" name="Shape 51"/>
                        <wps:cNvSpPr/>
                        <wps:spPr>
                          <a:xfrm>
                            <a:off x="0" y="0"/>
                            <a:ext cx="2932557" cy="454152"/>
                          </a:xfrm>
                          <a:custGeom>
                            <a:avLst/>
                            <a:gdLst/>
                            <a:ahLst/>
                            <a:cxnLst/>
                            <a:rect l="0" t="0" r="0" b="0"/>
                            <a:pathLst>
                              <a:path w="2932557" h="454152">
                                <a:moveTo>
                                  <a:pt x="0" y="0"/>
                                </a:moveTo>
                                <a:lnTo>
                                  <a:pt x="2932557" y="0"/>
                                </a:lnTo>
                                <a:lnTo>
                                  <a:pt x="2932557" y="6097"/>
                                </a:lnTo>
                                <a:lnTo>
                                  <a:pt x="6858" y="6097"/>
                                </a:lnTo>
                                <a:lnTo>
                                  <a:pt x="6858" y="447294"/>
                                </a:lnTo>
                                <a:lnTo>
                                  <a:pt x="2932557" y="447294"/>
                                </a:lnTo>
                                <a:lnTo>
                                  <a:pt x="2932557" y="454152"/>
                                </a:lnTo>
                                <a:lnTo>
                                  <a:pt x="0" y="454152"/>
                                </a:lnTo>
                                <a:lnTo>
                                  <a:pt x="0" y="0"/>
                                </a:lnTo>
                                <a:close/>
                              </a:path>
                            </a:pathLst>
                          </a:custGeom>
                          <a:ln w="0" cap="flat">
                            <a:miter lim="100000"/>
                          </a:ln>
                        </wps:spPr>
                        <wps:style>
                          <a:lnRef idx="0">
                            <a:srgbClr val="000000">
                              <a:alpha val="0"/>
                            </a:srgbClr>
                          </a:lnRef>
                          <a:fillRef idx="1">
                            <a:srgbClr val="7F7F7F"/>
                          </a:fillRef>
                          <a:effectRef idx="0">
                            <a:scrgbClr r="0" g="0" b="0"/>
                          </a:effectRef>
                          <a:fontRef idx="none"/>
                        </wps:style>
                        <wps:bodyPr/>
                      </wps:wsp>
                      <wps:wsp>
                        <wps:cNvPr id="52" name="Shape 52"/>
                        <wps:cNvSpPr/>
                        <wps:spPr>
                          <a:xfrm>
                            <a:off x="2932557" y="0"/>
                            <a:ext cx="2931796" cy="454152"/>
                          </a:xfrm>
                          <a:custGeom>
                            <a:avLst/>
                            <a:gdLst/>
                            <a:ahLst/>
                            <a:cxnLst/>
                            <a:rect l="0" t="0" r="0" b="0"/>
                            <a:pathLst>
                              <a:path w="2931796" h="454152">
                                <a:moveTo>
                                  <a:pt x="0" y="0"/>
                                </a:moveTo>
                                <a:lnTo>
                                  <a:pt x="2931796" y="0"/>
                                </a:lnTo>
                                <a:lnTo>
                                  <a:pt x="2931796" y="454152"/>
                                </a:lnTo>
                                <a:lnTo>
                                  <a:pt x="0" y="454152"/>
                                </a:lnTo>
                                <a:lnTo>
                                  <a:pt x="0" y="447294"/>
                                </a:lnTo>
                                <a:lnTo>
                                  <a:pt x="2925699" y="447294"/>
                                </a:lnTo>
                                <a:lnTo>
                                  <a:pt x="2925699" y="6097"/>
                                </a:lnTo>
                                <a:lnTo>
                                  <a:pt x="0" y="6097"/>
                                </a:lnTo>
                                <a:lnTo>
                                  <a:pt x="0" y="0"/>
                                </a:lnTo>
                                <a:close/>
                              </a:path>
                            </a:pathLst>
                          </a:custGeom>
                          <a:ln w="0" cap="flat">
                            <a:miter lim="100000"/>
                          </a:ln>
                        </wps:spPr>
                        <wps:style>
                          <a:lnRef idx="0">
                            <a:srgbClr val="000000">
                              <a:alpha val="0"/>
                            </a:srgbClr>
                          </a:lnRef>
                          <a:fillRef idx="1">
                            <a:srgbClr val="7F7F7F"/>
                          </a:fillRef>
                          <a:effectRef idx="0">
                            <a:scrgbClr r="0" g="0" b="0"/>
                          </a:effectRef>
                          <a:fontRef idx="none"/>
                        </wps:style>
                        <wps:bodyPr/>
                      </wps:wsp>
                    </wpg:wgp>
                  </a:graphicData>
                </a:graphic>
                <wp14:sizeRelH relativeFrom="margin">
                  <wp14:pctWidth>0</wp14:pctWidth>
                </wp14:sizeRelH>
              </wp:anchor>
            </w:drawing>
          </mc:Choice>
          <mc:Fallback>
            <w:pict>
              <v:group w14:anchorId="6DEF2464" id="Group 876" o:spid="_x0000_s1026" style="position:absolute;left:0;text-align:left;margin-left:6pt;margin-top:-1.6pt;width:482.75pt;height:35.75pt;z-index:-251657216;mso-width-relative:margin" coordsize="58643,4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">
                <v:shape id="Shape 51" o:spid="_x0000_s1027" style="position:absolute;width:29325;height:4541;visibility:visible;mso-wrap-style:square;v-text-anchor:top" coordsize="2932557,454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JO8IA&#10;AADbAAAADwAAAGRycy9kb3ducmV2LnhtbESP3YrCMBSE74V9h3AWvNPUZf2hNpVFWRD0xtYHODbH&#10;tticlCZq9emNsLCXw8x8wySr3jTiRp2rLSuYjCMQxIXVNZcKjvnvaAHCeWSNjWVS8CAHq/RjkGCs&#10;7Z0PdMt8KQKEXYwKKu/bWEpXVGTQjW1LHLyz7Qz6ILtS6g7vAW4a+RVFM2mw5rBQYUvriopLdjUK&#10;vs16m51Qz/eU5XlZ7zb+ZJ5KDT/7nyUIT73/D/+1t1rBdALvL+EH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V8k7wgAAANsAAAAPAAAAAAAAAAAAAAAAAJgCAABkcnMvZG93&#10;bnJldi54bWxQSwUGAAAAAAQABAD1AAAAhwMAAAAA&#10;" path="m,l2932557,r,6097l6858,6097r,441197l2932557,447294r,6858l,454152,,xe" fillcolor="#7f7f7f" stroked="f" strokeweight="0">
                  <v:stroke miterlimit="1" joinstyle="miter"/>
                  <v:path arrowok="t" textboxrect="0,0,2932557,454152"/>
                </v:shape>
                <v:shape id="Shape 52" o:spid="_x0000_s1028" style="position:absolute;left:29325;width:29318;height:4541;visibility:visible;mso-wrap-style:square;v-text-anchor:top" coordsize="2931796,454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8U0sEA&#10;AADbAAAADwAAAGRycy9kb3ducmV2LnhtbESPQWuDQBSE74X8h+UFeqtrhBYxWaUEAiG3pvb+cF/V&#10;1PfWuptE/323UOhxmJlvmF0186BuNPneiYFNkoIiaZztpTVQvx+eclA+oFgcnJCBhTxU5ephh4V1&#10;d3mj2zm0KkLEF2igC2EstPZNR4w+cSNJ9D7dxBiinFptJ7xHOA86S9MXzdhLXOhwpH1Hzdf5ygb6&#10;5Wgv1+xjXvi7Pl2Y8zavc2Me1/PrFlSgOfyH/9pHa+A5g98v8Qfo8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FNLBAAAA2wAAAA8AAAAAAAAAAAAAAAAAmAIAAGRycy9kb3du&#10;cmV2LnhtbFBLBQYAAAAABAAEAPUAAACGAwAAAAA=&#10;" path="m,l2931796,r,454152l,454152r,-6858l2925699,447294r,-441197l,6097,,xe" fillcolor="#7f7f7f" stroked="f" strokeweight="0">
                  <v:stroke miterlimit="1" joinstyle="miter"/>
                  <v:path arrowok="t" textboxrect="0,0,2931796,454152"/>
                </v:shape>
              </v:group>
            </w:pict>
          </mc:Fallback>
        </mc:AlternateContent>
      </w:r>
      <w:r w:rsidR="00746A0B">
        <w:t xml:space="preserve">   例） リバロ錠 1mg → リバロ OD 錠 1mg </w:t>
      </w:r>
    </w:p>
    <w:p w:rsidR="0099269A" w:rsidRDefault="00746A0B" w:rsidP="00087992">
      <w:pPr>
        <w:ind w:left="-5"/>
      </w:pPr>
      <w:r>
        <w:lastRenderedPageBreak/>
        <w:t xml:space="preserve">      アルダクトン A25mg＜粉砕＞ → アルダクトン A 細粒 10％ 25mg </w:t>
      </w:r>
    </w:p>
    <w:p w:rsidR="00087992" w:rsidRDefault="00746A0B">
      <w:pPr>
        <w:numPr>
          <w:ilvl w:val="0"/>
          <w:numId w:val="2"/>
        </w:numPr>
        <w:spacing w:after="0" w:line="411" w:lineRule="auto"/>
        <w:ind w:hanging="517"/>
      </w:pPr>
      <w:r>
        <w:t>別規格製剤がある場合の調整規格の変更</w:t>
      </w:r>
    </w:p>
    <w:p w:rsidR="0099269A" w:rsidRDefault="00746A0B" w:rsidP="00087992">
      <w:pPr>
        <w:spacing w:after="0" w:line="411" w:lineRule="auto"/>
        <w:ind w:left="517" w:firstLine="0"/>
      </w:pPr>
      <w:r>
        <w:t xml:space="preserve">当該医薬品に「含量規格変更不可」の指定がある場合を除く。 </w:t>
      </w:r>
    </w:p>
    <w:p w:rsidR="0099269A" w:rsidRDefault="00D03F14" w:rsidP="00087992">
      <w:pPr>
        <w:spacing w:after="313"/>
        <w:ind w:left="0" w:firstLineChars="250" w:firstLine="550"/>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simplePos x="0" y="0"/>
                <wp:positionH relativeFrom="column">
                  <wp:posOffset>0</wp:posOffset>
                </wp:positionH>
                <wp:positionV relativeFrom="paragraph">
                  <wp:posOffset>306705</wp:posOffset>
                </wp:positionV>
                <wp:extent cx="6207125" cy="282575"/>
                <wp:effectExtent l="0" t="0" r="3175" b="3175"/>
                <wp:wrapNone/>
                <wp:docPr id="968" name="Group 968"/>
                <wp:cNvGraphicFramePr/>
                <a:graphic xmlns:a="http://schemas.openxmlformats.org/drawingml/2006/main">
                  <a:graphicData uri="http://schemas.microsoft.com/office/word/2010/wordprocessingGroup">
                    <wpg:wgp>
                      <wpg:cNvGrpSpPr/>
                      <wpg:grpSpPr>
                        <a:xfrm>
                          <a:off x="0" y="0"/>
                          <a:ext cx="6207125" cy="282575"/>
                          <a:chOff x="0" y="0"/>
                          <a:chExt cx="5864352" cy="282702"/>
                        </a:xfrm>
                      </wpg:grpSpPr>
                      <wps:wsp>
                        <wps:cNvPr id="110" name="Shape 110"/>
                        <wps:cNvSpPr/>
                        <wps:spPr>
                          <a:xfrm>
                            <a:off x="0" y="0"/>
                            <a:ext cx="2932557" cy="282702"/>
                          </a:xfrm>
                          <a:custGeom>
                            <a:avLst/>
                            <a:gdLst/>
                            <a:ahLst/>
                            <a:cxnLst/>
                            <a:rect l="0" t="0" r="0" b="0"/>
                            <a:pathLst>
                              <a:path w="2932557" h="282702">
                                <a:moveTo>
                                  <a:pt x="0" y="0"/>
                                </a:moveTo>
                                <a:lnTo>
                                  <a:pt x="2932557" y="0"/>
                                </a:lnTo>
                                <a:lnTo>
                                  <a:pt x="2932557" y="6858"/>
                                </a:lnTo>
                                <a:lnTo>
                                  <a:pt x="6858" y="6858"/>
                                </a:lnTo>
                                <a:lnTo>
                                  <a:pt x="6858" y="276606"/>
                                </a:lnTo>
                                <a:lnTo>
                                  <a:pt x="2932557" y="276606"/>
                                </a:lnTo>
                                <a:lnTo>
                                  <a:pt x="2932557" y="282702"/>
                                </a:lnTo>
                                <a:lnTo>
                                  <a:pt x="0" y="282702"/>
                                </a:lnTo>
                                <a:lnTo>
                                  <a:pt x="0" y="0"/>
                                </a:lnTo>
                                <a:close/>
                              </a:path>
                            </a:pathLst>
                          </a:custGeom>
                          <a:ln w="0" cap="flat">
                            <a:miter lim="100000"/>
                          </a:ln>
                        </wps:spPr>
                        <wps:style>
                          <a:lnRef idx="0">
                            <a:srgbClr val="000000">
                              <a:alpha val="0"/>
                            </a:srgbClr>
                          </a:lnRef>
                          <a:fillRef idx="1">
                            <a:srgbClr val="7F7F7F"/>
                          </a:fillRef>
                          <a:effectRef idx="0">
                            <a:scrgbClr r="0" g="0" b="0"/>
                          </a:effectRef>
                          <a:fontRef idx="none"/>
                        </wps:style>
                        <wps:bodyPr/>
                      </wps:wsp>
                      <wps:wsp>
                        <wps:cNvPr id="111" name="Shape 111"/>
                        <wps:cNvSpPr/>
                        <wps:spPr>
                          <a:xfrm>
                            <a:off x="2932557" y="0"/>
                            <a:ext cx="2931796" cy="282702"/>
                          </a:xfrm>
                          <a:custGeom>
                            <a:avLst/>
                            <a:gdLst/>
                            <a:ahLst/>
                            <a:cxnLst/>
                            <a:rect l="0" t="0" r="0" b="0"/>
                            <a:pathLst>
                              <a:path w="2931796" h="282702">
                                <a:moveTo>
                                  <a:pt x="0" y="0"/>
                                </a:moveTo>
                                <a:lnTo>
                                  <a:pt x="2931796" y="0"/>
                                </a:lnTo>
                                <a:lnTo>
                                  <a:pt x="2931796" y="282702"/>
                                </a:lnTo>
                                <a:lnTo>
                                  <a:pt x="0" y="282702"/>
                                </a:lnTo>
                                <a:lnTo>
                                  <a:pt x="0" y="276606"/>
                                </a:lnTo>
                                <a:lnTo>
                                  <a:pt x="2925699" y="276606"/>
                                </a:lnTo>
                                <a:lnTo>
                                  <a:pt x="2925699" y="6858"/>
                                </a:lnTo>
                                <a:lnTo>
                                  <a:pt x="0" y="6858"/>
                                </a:lnTo>
                                <a:lnTo>
                                  <a:pt x="0" y="0"/>
                                </a:lnTo>
                                <a:close/>
                              </a:path>
                            </a:pathLst>
                          </a:custGeom>
                          <a:ln w="0" cap="flat">
                            <a:miter lim="100000"/>
                          </a:ln>
                        </wps:spPr>
                        <wps:style>
                          <a:lnRef idx="0">
                            <a:srgbClr val="000000">
                              <a:alpha val="0"/>
                            </a:srgbClr>
                          </a:lnRef>
                          <a:fillRef idx="1">
                            <a:srgbClr val="7F7F7F"/>
                          </a:fillRef>
                          <a:effectRef idx="0">
                            <a:scrgbClr r="0" g="0" b="0"/>
                          </a:effectRef>
                          <a:fontRef idx="none"/>
                        </wps:style>
                        <wps:bodyPr/>
                      </wps:wsp>
                    </wpg:wgp>
                  </a:graphicData>
                </a:graphic>
                <wp14:sizeRelH relativeFrom="margin">
                  <wp14:pctWidth>0</wp14:pctWidth>
                </wp14:sizeRelH>
              </wp:anchor>
            </w:drawing>
          </mc:Choice>
          <mc:Fallback>
            <w:pict>
              <v:group w14:anchorId="04890061" id="Group 968" o:spid="_x0000_s1026" style="position:absolute;left:0;text-align:left;margin-left:0;margin-top:24.15pt;width:488.75pt;height:22.25pt;z-index:-251656192;mso-width-relative:margin" coordsize="58643,2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">
                <v:shape id="Shape 110" o:spid="_x0000_s1027" style="position:absolute;width:29325;height:2827;visibility:visible;mso-wrap-style:square;v-text-anchor:top" coordsize="2932557,282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0/dMUA&#10;AADcAAAADwAAAGRycy9kb3ducmV2LnhtbESPQWsCMRCF74X+hzAFbzVrKVK2RrGFgj2J1kK9TTfj&#10;bnAzWZK4rv/eOQjeZnhv3vtmthh8q3qKyQU2MBkXoIirYB3XBnY/X89voFJGttgGJgMXSrCYPz7M&#10;sLThzBvqt7lWEsKpRANNzl2pdaoa8pjGoSMW7RCixyxrrLWNeJZw3+qXophqj46locGOPhuqjtuT&#10;N7CP01/39+9dtX7t03HXfV8+9N6Y0dOwfAeVach38+16ZQV/IvjyjEy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nT90xQAAANwAAAAPAAAAAAAAAAAAAAAAAJgCAABkcnMv&#10;ZG93bnJldi54bWxQSwUGAAAAAAQABAD1AAAAigMAAAAA&#10;" path="m,l2932557,r,6858l6858,6858r,269748l2932557,276606r,6096l,282702,,xe" fillcolor="#7f7f7f" stroked="f" strokeweight="0">
                  <v:stroke miterlimit="1" joinstyle="miter"/>
                  <v:path arrowok="t" textboxrect="0,0,2932557,282702"/>
                </v:shape>
                <v:shape id="Shape 111" o:spid="_x0000_s1028" style="position:absolute;left:29325;width:29318;height:2827;visibility:visible;mso-wrap-style:square;v-text-anchor:top" coordsize="2931796,282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lfccMA&#10;AADcAAAADwAAAGRycy9kb3ducmV2LnhtbESPzWrDQAyE74W8w6JAb83aDYTgZm1KkkLoodD8nYVX&#10;tU29WuOVHfftu4VCbhIz82m0KSbXqpH60Hg2kC4SUMSltw1XBs6nt6c1qCDIFlvPZOCHAhT57GGD&#10;mfU3/qTxKJWKEA4ZGqhFukzrUNbkMCx8Rxy1L987lLj2lbY93iLctfo5SVbaYcPxQo0dbWsqv4+D&#10;MzDu+GOQYXW97LeWlu+iI2M05nE+vb6AEprkbv5PH2ysn6bw90ycQ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lfccMAAADcAAAADwAAAAAAAAAAAAAAAACYAgAAZHJzL2Rv&#10;d25yZXYueG1sUEsFBgAAAAAEAAQA9QAAAIgDAAAAAA==&#10;" path="m,l2931796,r,282702l,282702r,-6096l2925699,276606r,-269748l,6858,,xe" fillcolor="#7f7f7f" stroked="f" strokeweight="0">
                  <v:stroke miterlimit="1" joinstyle="miter"/>
                  <v:path arrowok="t" textboxrect="0,0,2931796,282702"/>
                </v:shape>
              </v:group>
            </w:pict>
          </mc:Fallback>
        </mc:AlternateContent>
      </w:r>
      <w:r w:rsidR="00746A0B">
        <w:t xml:space="preserve">規格により適応が異なる場合を除く。 </w:t>
      </w:r>
    </w:p>
    <w:p w:rsidR="0099269A" w:rsidRDefault="00746A0B">
      <w:pPr>
        <w:ind w:left="-5"/>
      </w:pPr>
      <w:r>
        <w:t xml:space="preserve">   例） アーチスト錠 1.25mg 4 錠分 2 → アーチスト錠 2.5mg 2 錠分 2 </w:t>
      </w:r>
    </w:p>
    <w:p w:rsidR="0099269A" w:rsidRDefault="00746A0B">
      <w:pPr>
        <w:ind w:left="0" w:firstLine="0"/>
      </w:pPr>
      <w:r>
        <w:t xml:space="preserve">     </w:t>
      </w:r>
    </w:p>
    <w:p w:rsidR="00087992" w:rsidRDefault="00746A0B">
      <w:pPr>
        <w:numPr>
          <w:ilvl w:val="0"/>
          <w:numId w:val="2"/>
        </w:numPr>
        <w:spacing w:after="0" w:line="411" w:lineRule="auto"/>
        <w:ind w:hanging="517"/>
      </w:pPr>
      <w:r>
        <w:t>服薬管理等の面から必要と判断して実施する保険請求を伴わない半錠、粉砕の調剤</w:t>
      </w:r>
    </w:p>
    <w:p w:rsidR="0099269A" w:rsidRDefault="00746A0B" w:rsidP="00087992">
      <w:pPr>
        <w:spacing w:after="0" w:line="411" w:lineRule="auto"/>
        <w:ind w:left="517" w:firstLine="0"/>
      </w:pPr>
      <w:r>
        <w:t xml:space="preserve">保険薬局において安定性データを確認したうえで実施すること。 </w:t>
      </w:r>
    </w:p>
    <w:p w:rsidR="0099269A" w:rsidRDefault="00746A0B">
      <w:pPr>
        <w:spacing w:after="313"/>
        <w:ind w:left="-5"/>
      </w:pPr>
      <w:r>
        <w:t xml:space="preserve"> </w:t>
      </w:r>
      <w:r w:rsidR="00087992">
        <w:t xml:space="preserve">   </w:t>
      </w:r>
      <w:r>
        <w:t xml:space="preserve">   ただし、粉砕や混合に関する算定を加算する場合は、疑義照会を行うこと。 </w:t>
      </w:r>
    </w:p>
    <w:p w:rsidR="00087992" w:rsidRDefault="00746A0B">
      <w:pPr>
        <w:numPr>
          <w:ilvl w:val="0"/>
          <w:numId w:val="2"/>
        </w:numPr>
        <w:spacing w:after="0" w:line="411" w:lineRule="auto"/>
        <w:ind w:hanging="517"/>
      </w:pPr>
      <w:r>
        <w:t>服薬管理等の面から必要と判断して実施する保険請求を伴わない一包化調剤</w:t>
      </w:r>
    </w:p>
    <w:p w:rsidR="0099269A" w:rsidRDefault="00746A0B" w:rsidP="00087992">
      <w:pPr>
        <w:spacing w:after="0" w:line="411" w:lineRule="auto"/>
        <w:ind w:left="517" w:firstLine="0"/>
      </w:pPr>
      <w:r>
        <w:t xml:space="preserve">保険薬局において安定性データを確認したうえで実施すること。 </w:t>
      </w:r>
    </w:p>
    <w:p w:rsidR="0099269A" w:rsidRDefault="00746A0B">
      <w:pPr>
        <w:spacing w:after="313"/>
        <w:ind w:left="-5"/>
      </w:pPr>
      <w:r>
        <w:t xml:space="preserve">    </w:t>
      </w:r>
      <w:r w:rsidR="00087992">
        <w:t xml:space="preserve">    </w:t>
      </w:r>
      <w:r>
        <w:t xml:space="preserve">ただし、一包化に関する算定を加算する場合は、疑義照会を行うこと。 </w:t>
      </w:r>
    </w:p>
    <w:p w:rsidR="0099269A" w:rsidRDefault="00087992">
      <w:pPr>
        <w:numPr>
          <w:ilvl w:val="0"/>
          <w:numId w:val="2"/>
        </w:numPr>
        <w:spacing w:after="180" w:line="411" w:lineRule="auto"/>
        <w:ind w:hanging="517"/>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simplePos x="0" y="0"/>
                <wp:positionH relativeFrom="column">
                  <wp:posOffset>57150</wp:posOffset>
                </wp:positionH>
                <wp:positionV relativeFrom="paragraph">
                  <wp:posOffset>342900</wp:posOffset>
                </wp:positionV>
                <wp:extent cx="6149975" cy="628650"/>
                <wp:effectExtent l="0" t="0" r="3175" b="0"/>
                <wp:wrapNone/>
                <wp:docPr id="969" name="Group 969"/>
                <wp:cNvGraphicFramePr/>
                <a:graphic xmlns:a="http://schemas.openxmlformats.org/drawingml/2006/main">
                  <a:graphicData uri="http://schemas.microsoft.com/office/word/2010/wordprocessingGroup">
                    <wpg:wgp>
                      <wpg:cNvGrpSpPr/>
                      <wpg:grpSpPr>
                        <a:xfrm>
                          <a:off x="0" y="0"/>
                          <a:ext cx="6149975" cy="628650"/>
                          <a:chOff x="0" y="0"/>
                          <a:chExt cx="5864352" cy="473202"/>
                        </a:xfrm>
                      </wpg:grpSpPr>
                      <wps:wsp>
                        <wps:cNvPr id="112" name="Shape 112"/>
                        <wps:cNvSpPr/>
                        <wps:spPr>
                          <a:xfrm>
                            <a:off x="0" y="0"/>
                            <a:ext cx="2932557" cy="473202"/>
                          </a:xfrm>
                          <a:custGeom>
                            <a:avLst/>
                            <a:gdLst/>
                            <a:ahLst/>
                            <a:cxnLst/>
                            <a:rect l="0" t="0" r="0" b="0"/>
                            <a:pathLst>
                              <a:path w="2932557" h="473202">
                                <a:moveTo>
                                  <a:pt x="0" y="0"/>
                                </a:moveTo>
                                <a:lnTo>
                                  <a:pt x="2932557" y="0"/>
                                </a:lnTo>
                                <a:lnTo>
                                  <a:pt x="2932557" y="6858"/>
                                </a:lnTo>
                                <a:lnTo>
                                  <a:pt x="6858" y="6858"/>
                                </a:lnTo>
                                <a:lnTo>
                                  <a:pt x="6858" y="467106"/>
                                </a:lnTo>
                                <a:lnTo>
                                  <a:pt x="2932557" y="467106"/>
                                </a:lnTo>
                                <a:lnTo>
                                  <a:pt x="2932557" y="473202"/>
                                </a:lnTo>
                                <a:lnTo>
                                  <a:pt x="0" y="473202"/>
                                </a:lnTo>
                                <a:lnTo>
                                  <a:pt x="0" y="0"/>
                                </a:lnTo>
                                <a:close/>
                              </a:path>
                            </a:pathLst>
                          </a:custGeom>
                          <a:ln w="0" cap="flat">
                            <a:miter lim="100000"/>
                          </a:ln>
                        </wps:spPr>
                        <wps:style>
                          <a:lnRef idx="0">
                            <a:srgbClr val="000000">
                              <a:alpha val="0"/>
                            </a:srgbClr>
                          </a:lnRef>
                          <a:fillRef idx="1">
                            <a:srgbClr val="7F7F7F"/>
                          </a:fillRef>
                          <a:effectRef idx="0">
                            <a:scrgbClr r="0" g="0" b="0"/>
                          </a:effectRef>
                          <a:fontRef idx="none"/>
                        </wps:style>
                        <wps:bodyPr/>
                      </wps:wsp>
                      <wps:wsp>
                        <wps:cNvPr id="113" name="Shape 113"/>
                        <wps:cNvSpPr/>
                        <wps:spPr>
                          <a:xfrm>
                            <a:off x="2932557" y="0"/>
                            <a:ext cx="2931796" cy="473202"/>
                          </a:xfrm>
                          <a:custGeom>
                            <a:avLst/>
                            <a:gdLst/>
                            <a:ahLst/>
                            <a:cxnLst/>
                            <a:rect l="0" t="0" r="0" b="0"/>
                            <a:pathLst>
                              <a:path w="2931796" h="473202">
                                <a:moveTo>
                                  <a:pt x="0" y="0"/>
                                </a:moveTo>
                                <a:lnTo>
                                  <a:pt x="2931796" y="0"/>
                                </a:lnTo>
                                <a:lnTo>
                                  <a:pt x="2931796" y="473202"/>
                                </a:lnTo>
                                <a:lnTo>
                                  <a:pt x="0" y="473202"/>
                                </a:lnTo>
                                <a:lnTo>
                                  <a:pt x="0" y="467106"/>
                                </a:lnTo>
                                <a:lnTo>
                                  <a:pt x="2925699" y="467106"/>
                                </a:lnTo>
                                <a:lnTo>
                                  <a:pt x="2925699" y="6858"/>
                                </a:lnTo>
                                <a:lnTo>
                                  <a:pt x="0" y="6858"/>
                                </a:lnTo>
                                <a:lnTo>
                                  <a:pt x="0" y="0"/>
                                </a:lnTo>
                                <a:close/>
                              </a:path>
                            </a:pathLst>
                          </a:custGeom>
                          <a:ln w="0" cap="flat">
                            <a:miter lim="100000"/>
                          </a:ln>
                        </wps:spPr>
                        <wps:style>
                          <a:lnRef idx="0">
                            <a:srgbClr val="000000">
                              <a:alpha val="0"/>
                            </a:srgbClr>
                          </a:lnRef>
                          <a:fillRef idx="1">
                            <a:srgbClr val="7F7F7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56C974E" id="Group 969" o:spid="_x0000_s1026" style="position:absolute;left:0;text-align:left;margin-left:4.5pt;margin-top:27pt;width:484.25pt;height:49.5pt;z-index:-251655168;mso-width-relative:margin;mso-height-relative:margin" coordsize="58643,4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">
                <v:shape id="Shape 112" o:spid="_x0000_s1027" style="position:absolute;width:29325;height:4732;visibility:visible;mso-wrap-style:square;v-text-anchor:top" coordsize="2932557,473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mXhMIA&#10;AADcAAAADwAAAGRycy9kb3ducmV2LnhtbERPyWrDMBC9F/IPYgK9lEa2D21xo4QSbMg1aXsfrImX&#10;WiPFUmw3X18FAr3N462z3s6mFyMNvrWsIF0lIIgrq1uuFXx9ls9vIHxA1thbJgW/5GG7WTysMdd2&#10;4gONx1CLGMI+RwVNCC6X0lcNGfQr64gjd7KDwRDhUEs94BTDTS+zJHmRBluODQ062jVU/RwvRgHX&#10;3nXdqbu6bP966Yviu3w6l0o9LuePdxCB5vAvvrv3Os5PM7g9Ey+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iZeEwgAAANwAAAAPAAAAAAAAAAAAAAAAAJgCAABkcnMvZG93&#10;bnJldi54bWxQSwUGAAAAAAQABAD1AAAAhwMAAAAA&#10;" path="m,l2932557,r,6858l6858,6858r,460248l2932557,467106r,6096l,473202,,xe" fillcolor="#7f7f7f" stroked="f" strokeweight="0">
                  <v:stroke miterlimit="1" joinstyle="miter"/>
                  <v:path arrowok="t" textboxrect="0,0,2932557,473202"/>
                </v:shape>
                <v:shape id="Shape 113" o:spid="_x0000_s1028" style="position:absolute;left:29325;width:29318;height:4732;visibility:visible;mso-wrap-style:square;v-text-anchor:top" coordsize="2931796,473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oDisMA&#10;AADcAAAADwAAAGRycy9kb3ducmV2LnhtbERP32vCMBB+H+x/CDfwbaZd2RjVKEMZiAxFJ8rebs2t&#10;KTaX0kSt/vVGGPh2H9/PG447W4sjtb5yrCDtJyCIC6crLhVsvj+f30H4gKyxdkwKzuRhPHp8GGKu&#10;3YlXdFyHUsQQ9jkqMCE0uZS+MGTR911DHLk/11oMEbal1C2eYrit5UuSvEmLFccGgw1NDBX79cEq&#10;eM2yy5ay3XySNmymP79fy4X2SvWeuo8BiEBduIv/3TMd56cZ3J6JF8jR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oDisMAAADcAAAADwAAAAAAAAAAAAAAAACYAgAAZHJzL2Rv&#10;d25yZXYueG1sUEsFBgAAAAAEAAQA9QAAAIgDAAAAAA==&#10;" path="m,l2931796,r,473202l,473202r,-6096l2925699,467106r,-460248l,6858,,xe" fillcolor="#7f7f7f" stroked="f" strokeweight="0">
                  <v:stroke miterlimit="1" joinstyle="miter"/>
                  <v:path arrowok="t" textboxrect="0,0,2931796,473202"/>
                </v:shape>
              </v:group>
            </w:pict>
          </mc:Fallback>
        </mc:AlternateContent>
      </w:r>
      <w:r w:rsidR="00746A0B">
        <w:t xml:space="preserve">貼付剤や軟膏類の包装、規格の変更     総量が同じ場合のみ変更可とする。 </w:t>
      </w:r>
    </w:p>
    <w:p w:rsidR="0099269A" w:rsidRDefault="00746A0B">
      <w:pPr>
        <w:ind w:left="-5"/>
      </w:pPr>
      <w:r>
        <w:t xml:space="preserve">   例） モーラスパップ 30 7 枚入り 6 包 → モーラスパップ 30 6 枚入り 7 包 </w:t>
      </w:r>
    </w:p>
    <w:p w:rsidR="0099269A" w:rsidRDefault="00746A0B" w:rsidP="00087992">
      <w:pPr>
        <w:ind w:left="-5"/>
      </w:pPr>
      <w:r>
        <w:t xml:space="preserve">      ヒルドイドソフト軟膏 25g 4 本 → ヒルドイドソフト軟膏 100g 1 瓶 </w:t>
      </w:r>
    </w:p>
    <w:p w:rsidR="00D03F14" w:rsidRPr="00087992" w:rsidRDefault="00D03F14" w:rsidP="00087992">
      <w:pPr>
        <w:ind w:left="-5"/>
      </w:pPr>
    </w:p>
    <w:p w:rsidR="0099269A" w:rsidRDefault="00746A0B">
      <w:pPr>
        <w:numPr>
          <w:ilvl w:val="0"/>
          <w:numId w:val="2"/>
        </w:numPr>
        <w:ind w:hanging="517"/>
      </w:pPr>
      <w:r>
        <w:t xml:space="preserve">残薬の調整の為の処方日数変更 </w:t>
      </w:r>
    </w:p>
    <w:p w:rsidR="0099269A" w:rsidRDefault="00746A0B">
      <w:pPr>
        <w:ind w:left="-5"/>
      </w:pPr>
      <w:r>
        <w:t xml:space="preserve">    残薬調整の目的に限る。外用剤等の本数変更も含む。 </w:t>
      </w:r>
    </w:p>
    <w:p w:rsidR="0099269A" w:rsidRDefault="00746A0B" w:rsidP="00D82CE5">
      <w:pPr>
        <w:spacing w:after="14"/>
        <w:ind w:left="825" w:hanging="840"/>
      </w:pPr>
      <w:r>
        <w:t xml:space="preserve">    </w:t>
      </w:r>
      <w:r w:rsidR="00D82CE5">
        <w:t>ただし、処方日数を延長</w:t>
      </w:r>
      <w:r>
        <w:t>する</w:t>
      </w:r>
      <w:r w:rsidR="00D82CE5">
        <w:t>ことは不可とする。</w:t>
      </w:r>
      <w:r>
        <w:t xml:space="preserve"> </w:t>
      </w:r>
    </w:p>
    <w:tbl>
      <w:tblPr>
        <w:tblStyle w:val="TableGrid"/>
        <w:tblW w:w="9225" w:type="dxa"/>
        <w:tblInd w:w="541" w:type="dxa"/>
        <w:tblCellMar>
          <w:top w:w="90" w:type="dxa"/>
          <w:right w:w="298" w:type="dxa"/>
        </w:tblCellMar>
        <w:tblLook w:val="04A0" w:firstRow="1" w:lastRow="0" w:firstColumn="1" w:lastColumn="0" w:noHBand="0" w:noVBand="1"/>
      </w:tblPr>
      <w:tblGrid>
        <w:gridCol w:w="9225"/>
      </w:tblGrid>
      <w:tr w:rsidR="0099269A">
        <w:trPr>
          <w:trHeight w:val="735"/>
        </w:trPr>
        <w:tc>
          <w:tcPr>
            <w:tcW w:w="9225" w:type="dxa"/>
            <w:tcBorders>
              <w:top w:val="single" w:sz="4" w:space="0" w:color="7F7F7F"/>
              <w:left w:val="single" w:sz="4" w:space="0" w:color="7F7F7F"/>
              <w:bottom w:val="single" w:sz="4" w:space="0" w:color="7F7F7F"/>
              <w:right w:val="single" w:sz="4" w:space="0" w:color="7F7F7F"/>
            </w:tcBorders>
          </w:tcPr>
          <w:p w:rsidR="0099269A" w:rsidRDefault="00746A0B">
            <w:pPr>
              <w:ind w:left="-541" w:firstLine="0"/>
            </w:pPr>
            <w:r>
              <w:t xml:space="preserve">   例） </w:t>
            </w:r>
            <w:r w:rsidR="00BD6FD3">
              <w:rPr>
                <w:rFonts w:hint="eastAsia"/>
              </w:rPr>
              <w:t>例）</w:t>
            </w:r>
            <w:r>
              <w:t xml:space="preserve">プルゼニド錠 12mg 60 日分 </w:t>
            </w:r>
          </w:p>
          <w:p w:rsidR="0099269A" w:rsidRDefault="00746A0B">
            <w:pPr>
              <w:spacing w:after="0"/>
              <w:ind w:left="0" w:right="70" w:firstLine="0"/>
              <w:jc w:val="right"/>
            </w:pPr>
            <w:r>
              <w:t xml:space="preserve">→ プルゼニド錠 12mg 28 日分（32 日分残薬があるため） </w:t>
            </w:r>
          </w:p>
          <w:p w:rsidR="00D03F14" w:rsidRPr="00D03F14" w:rsidRDefault="00D03F14" w:rsidP="00BD6FD3">
            <w:pPr>
              <w:spacing w:after="158"/>
              <w:ind w:left="0" w:firstLineChars="250" w:firstLine="525"/>
              <w:rPr>
                <w:rFonts w:ascii="ＭＳ 明朝" w:eastAsia="ＭＳ 明朝" w:hAnsi="ＭＳ 明朝" w:cs="ＭＳ 明朝"/>
              </w:rPr>
            </w:pPr>
            <w:r w:rsidRPr="00D03F14">
              <w:t xml:space="preserve">ボナロン錠 35mg（週１回製剤）1 錠分 1 起床時 14 日分 </w:t>
            </w:r>
          </w:p>
          <w:p w:rsidR="00D03F14" w:rsidRDefault="00D03F14" w:rsidP="00D03F14">
            <w:pPr>
              <w:spacing w:after="0"/>
              <w:ind w:left="0" w:right="70" w:firstLine="0"/>
              <w:jc w:val="right"/>
            </w:pPr>
            <w:r w:rsidRPr="00D03F14">
              <w:t xml:space="preserve">   → 2 日分（他処方薬が 14 日分処方の時）</w:t>
            </w:r>
          </w:p>
        </w:tc>
      </w:tr>
    </w:tbl>
    <w:p w:rsidR="00D03F14" w:rsidRDefault="00746A0B">
      <w:pPr>
        <w:spacing w:after="0" w:line="411" w:lineRule="auto"/>
        <w:ind w:left="825" w:hanging="840"/>
      </w:pPr>
      <w:r>
        <w:t xml:space="preserve">   ※アドヒランスに問題があると判断される場合は、</w:t>
      </w:r>
    </w:p>
    <w:p w:rsidR="0099269A" w:rsidRDefault="00746A0B" w:rsidP="00D03F14">
      <w:pPr>
        <w:spacing w:after="0" w:line="411" w:lineRule="auto"/>
        <w:ind w:leftChars="50" w:left="105" w:firstLineChars="150" w:firstLine="315"/>
      </w:pPr>
      <w:r>
        <w:t xml:space="preserve">適宜、「服薬情報提供書（トレーシングレポート）」で処方医への情報提供をお願いします。 </w:t>
      </w:r>
    </w:p>
    <w:p w:rsidR="0099269A" w:rsidRDefault="0099269A" w:rsidP="00D03F14">
      <w:pPr>
        <w:ind w:left="0" w:firstLine="0"/>
      </w:pPr>
    </w:p>
    <w:p w:rsidR="0099269A" w:rsidRDefault="00746A0B" w:rsidP="00D03F14">
      <w:pPr>
        <w:pStyle w:val="2"/>
        <w:ind w:left="-5"/>
      </w:pPr>
      <w:r>
        <w:t>3．疑義照会を必要とする事例</w:t>
      </w:r>
    </w:p>
    <w:p w:rsidR="0099269A" w:rsidRDefault="00746A0B">
      <w:pPr>
        <w:spacing w:after="65"/>
        <w:ind w:left="220"/>
      </w:pPr>
      <w:r>
        <w:t>・</w:t>
      </w:r>
      <w:r>
        <w:rPr>
          <w:rFonts w:ascii="ＭＳ 明朝" w:eastAsia="ＭＳ 明朝" w:hAnsi="ＭＳ 明朝" w:cs="ＭＳ 明朝"/>
        </w:rPr>
        <w:t xml:space="preserve"> </w:t>
      </w:r>
      <w:r w:rsidR="00BB62A3">
        <w:rPr>
          <w:rFonts w:hint="eastAsia"/>
        </w:rPr>
        <w:t>処方箋</w:t>
      </w:r>
      <w:r>
        <w:t xml:space="preserve">の削除を必要とする場合 </w:t>
      </w:r>
    </w:p>
    <w:p w:rsidR="0099269A" w:rsidRDefault="00746A0B">
      <w:pPr>
        <w:spacing w:after="65"/>
        <w:ind w:left="220"/>
      </w:pPr>
      <w:r>
        <w:t>・</w:t>
      </w:r>
      <w:r>
        <w:rPr>
          <w:rFonts w:ascii="ＭＳ 明朝" w:eastAsia="ＭＳ 明朝" w:hAnsi="ＭＳ 明朝" w:cs="ＭＳ 明朝"/>
        </w:rPr>
        <w:t xml:space="preserve"> </w:t>
      </w:r>
      <w:r>
        <w:t xml:space="preserve">次回処方日数まで処方日数が不足している等の理由で、処方日数の変更が必要な場合 </w:t>
      </w:r>
    </w:p>
    <w:p w:rsidR="0099269A" w:rsidRDefault="00746A0B">
      <w:pPr>
        <w:spacing w:after="65"/>
        <w:ind w:left="220"/>
      </w:pPr>
      <w:r>
        <w:t>・</w:t>
      </w:r>
      <w:r>
        <w:rPr>
          <w:rFonts w:ascii="ＭＳ 明朝" w:eastAsia="ＭＳ 明朝" w:hAnsi="ＭＳ 明朝" w:cs="ＭＳ 明朝"/>
        </w:rPr>
        <w:t xml:space="preserve"> </w:t>
      </w:r>
      <w:r w:rsidR="00BB62A3">
        <w:rPr>
          <w:rFonts w:hint="eastAsia"/>
          <w:color w:val="333333"/>
        </w:rPr>
        <w:t>処方箋記載の無い</w:t>
      </w:r>
      <w:r>
        <w:t xml:space="preserve">一包化加算、重複投与・相互作用等防止加算等を算定する場合 </w:t>
      </w:r>
    </w:p>
    <w:p w:rsidR="000A2FAE" w:rsidRDefault="00087992" w:rsidP="00087992">
      <w:pPr>
        <w:spacing w:after="0" w:line="411" w:lineRule="auto"/>
        <w:ind w:left="0" w:right="9794" w:firstLine="0"/>
      </w:pPr>
      <w:r>
        <w:t xml:space="preserve"> </w:t>
      </w:r>
    </w:p>
    <w:p w:rsidR="000A2FAE" w:rsidRDefault="000A2FAE">
      <w:pPr>
        <w:spacing w:after="0" w:line="240" w:lineRule="auto"/>
        <w:ind w:left="0" w:firstLine="0"/>
      </w:pPr>
      <w:r>
        <w:br w:type="page"/>
      </w:r>
    </w:p>
    <w:p w:rsidR="000A2FAE" w:rsidRDefault="000A2FAE" w:rsidP="000A2FAE">
      <w:pPr>
        <w:wordWrap w:val="0"/>
        <w:ind w:left="345" w:firstLine="211"/>
        <w:jc w:val="right"/>
        <w:rPr>
          <w:rFonts w:cs="ＭＳ 明朝"/>
        </w:rPr>
      </w:pPr>
      <w:r>
        <w:rPr>
          <w:rFonts w:hint="eastAsia"/>
        </w:rPr>
        <w:lastRenderedPageBreak/>
        <w:t>近畿中央呼吸器センター　薬剤部</w:t>
      </w:r>
    </w:p>
    <w:p w:rsidR="000A2FAE" w:rsidRDefault="000A2FAE" w:rsidP="000A2FAE">
      <w:pPr>
        <w:ind w:left="345" w:firstLine="211"/>
        <w:jc w:val="right"/>
      </w:pPr>
      <w:r>
        <w:rPr>
          <w:rFonts w:hint="eastAsia"/>
        </w:rPr>
        <w:t>2022年１０月20日　作成</w:t>
      </w:r>
    </w:p>
    <w:p w:rsidR="000A2FAE" w:rsidRDefault="000A2FAE" w:rsidP="000A2FAE">
      <w:pPr>
        <w:ind w:left="345" w:firstLine="211"/>
        <w:jc w:val="right"/>
      </w:pPr>
    </w:p>
    <w:p w:rsidR="000A2FAE" w:rsidRDefault="000A2FAE" w:rsidP="000A2FAE">
      <w:pPr>
        <w:ind w:left="345" w:firstLine="211"/>
        <w:jc w:val="right"/>
      </w:pPr>
      <w:r>
        <w:rPr>
          <w:rFonts w:hint="eastAsia"/>
        </w:rPr>
        <w:t>地域連携ワーキング</w:t>
      </w:r>
    </w:p>
    <w:p w:rsidR="000A2FAE" w:rsidRDefault="000A2FAE" w:rsidP="000A2FAE">
      <w:pPr>
        <w:ind w:left="345" w:firstLine="211"/>
        <w:jc w:val="right"/>
      </w:pPr>
      <w:r>
        <w:rPr>
          <w:rFonts w:hint="eastAsia"/>
        </w:rPr>
        <w:t>2023年1月17日　承認</w:t>
      </w:r>
    </w:p>
    <w:p w:rsidR="0099269A" w:rsidRDefault="0099269A" w:rsidP="00087992">
      <w:pPr>
        <w:spacing w:after="0" w:line="411" w:lineRule="auto"/>
        <w:ind w:left="0" w:right="9794" w:firstLine="0"/>
      </w:pPr>
    </w:p>
    <w:sectPr w:rsidR="0099269A">
      <w:headerReference w:type="default" r:id="rId7"/>
      <w:pgSz w:w="11904" w:h="16840"/>
      <w:pgMar w:top="902" w:right="960" w:bottom="994"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29D" w:rsidRDefault="00F7629D" w:rsidP="00D03F14">
      <w:pPr>
        <w:spacing w:after="0" w:line="240" w:lineRule="auto"/>
      </w:pPr>
      <w:r>
        <w:separator/>
      </w:r>
    </w:p>
  </w:endnote>
  <w:endnote w:type="continuationSeparator" w:id="0">
    <w:p w:rsidR="00F7629D" w:rsidRDefault="00F7629D" w:rsidP="00D03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29D" w:rsidRDefault="00F7629D" w:rsidP="00D03F14">
      <w:pPr>
        <w:spacing w:after="0" w:line="240" w:lineRule="auto"/>
      </w:pPr>
      <w:r>
        <w:separator/>
      </w:r>
    </w:p>
  </w:footnote>
  <w:footnote w:type="continuationSeparator" w:id="0">
    <w:p w:rsidR="00F7629D" w:rsidRDefault="00F7629D" w:rsidP="00D03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D81" w:rsidRDefault="00122D81" w:rsidP="00122D81">
    <w:pPr>
      <w:pStyle w:val="a3"/>
      <w:ind w:firstLineChars="3800" w:firstLine="7980"/>
    </w:pPr>
    <w:r>
      <w:rPr>
        <w:rFonts w:hint="eastAsia"/>
      </w:rPr>
      <w:t>別添20-3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B7578"/>
    <w:multiLevelType w:val="hybridMultilevel"/>
    <w:tmpl w:val="86EA2E1A"/>
    <w:lvl w:ilvl="0" w:tplc="19D677C2">
      <w:start w:val="1"/>
      <w:numFmt w:val="decimal"/>
      <w:lvlText w:val="(%1)"/>
      <w:lvlJc w:val="left"/>
      <w:pPr>
        <w:ind w:left="517"/>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1" w:tplc="A9C2F674">
      <w:start w:val="1"/>
      <w:numFmt w:val="lowerLetter"/>
      <w:lvlText w:val="%2"/>
      <w:lvlJc w:val="left"/>
      <w:pPr>
        <w:ind w:left="129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2" w:tplc="88B642DA">
      <w:start w:val="1"/>
      <w:numFmt w:val="lowerRoman"/>
      <w:lvlText w:val="%3"/>
      <w:lvlJc w:val="left"/>
      <w:pPr>
        <w:ind w:left="201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3" w:tplc="337810C6">
      <w:start w:val="1"/>
      <w:numFmt w:val="decimal"/>
      <w:lvlText w:val="%4"/>
      <w:lvlJc w:val="left"/>
      <w:pPr>
        <w:ind w:left="273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4" w:tplc="BF5264BE">
      <w:start w:val="1"/>
      <w:numFmt w:val="lowerLetter"/>
      <w:lvlText w:val="%5"/>
      <w:lvlJc w:val="left"/>
      <w:pPr>
        <w:ind w:left="345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5" w:tplc="34E47C8E">
      <w:start w:val="1"/>
      <w:numFmt w:val="lowerRoman"/>
      <w:lvlText w:val="%6"/>
      <w:lvlJc w:val="left"/>
      <w:pPr>
        <w:ind w:left="417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6" w:tplc="F4CCFB68">
      <w:start w:val="1"/>
      <w:numFmt w:val="decimal"/>
      <w:lvlText w:val="%7"/>
      <w:lvlJc w:val="left"/>
      <w:pPr>
        <w:ind w:left="489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7" w:tplc="640A54DE">
      <w:start w:val="1"/>
      <w:numFmt w:val="lowerLetter"/>
      <w:lvlText w:val="%8"/>
      <w:lvlJc w:val="left"/>
      <w:pPr>
        <w:ind w:left="561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8" w:tplc="4D760020">
      <w:start w:val="1"/>
      <w:numFmt w:val="lowerRoman"/>
      <w:lvlText w:val="%9"/>
      <w:lvlJc w:val="left"/>
      <w:pPr>
        <w:ind w:left="633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344D1FF3"/>
    <w:multiLevelType w:val="hybridMultilevel"/>
    <w:tmpl w:val="C16E1DA0"/>
    <w:lvl w:ilvl="0" w:tplc="02A00EE2">
      <w:start w:val="1"/>
      <w:numFmt w:val="decimal"/>
      <w:lvlText w:val="(%1)"/>
      <w:lvlJc w:val="left"/>
      <w:pPr>
        <w:ind w:left="517"/>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1" w:tplc="42285B0C">
      <w:start w:val="1"/>
      <w:numFmt w:val="decimalEnclosedCircle"/>
      <w:lvlText w:val="%2"/>
      <w:lvlJc w:val="left"/>
      <w:pPr>
        <w:ind w:left="114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2" w:tplc="4B882034">
      <w:start w:val="1"/>
      <w:numFmt w:val="lowerRoman"/>
      <w:lvlText w:val="%3"/>
      <w:lvlJc w:val="left"/>
      <w:pPr>
        <w:ind w:left="192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3" w:tplc="C3124394">
      <w:start w:val="1"/>
      <w:numFmt w:val="decimal"/>
      <w:lvlText w:val="%4"/>
      <w:lvlJc w:val="left"/>
      <w:pPr>
        <w:ind w:left="264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4" w:tplc="011E540C">
      <w:start w:val="1"/>
      <w:numFmt w:val="lowerLetter"/>
      <w:lvlText w:val="%5"/>
      <w:lvlJc w:val="left"/>
      <w:pPr>
        <w:ind w:left="336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5" w:tplc="C7D4BF2A">
      <w:start w:val="1"/>
      <w:numFmt w:val="lowerRoman"/>
      <w:lvlText w:val="%6"/>
      <w:lvlJc w:val="left"/>
      <w:pPr>
        <w:ind w:left="408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6" w:tplc="3D1CE63C">
      <w:start w:val="1"/>
      <w:numFmt w:val="decimal"/>
      <w:lvlText w:val="%7"/>
      <w:lvlJc w:val="left"/>
      <w:pPr>
        <w:ind w:left="480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7" w:tplc="2350FB38">
      <w:start w:val="1"/>
      <w:numFmt w:val="lowerLetter"/>
      <w:lvlText w:val="%8"/>
      <w:lvlJc w:val="left"/>
      <w:pPr>
        <w:ind w:left="552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lvl w:ilvl="8" w:tplc="36500FC4">
      <w:start w:val="1"/>
      <w:numFmt w:val="lowerRoman"/>
      <w:lvlText w:val="%9"/>
      <w:lvlJc w:val="left"/>
      <w:pPr>
        <w:ind w:left="6240"/>
      </w:pPr>
      <w:rPr>
        <w:rFonts w:ascii="HG丸ｺﾞｼｯｸM-PRO" w:eastAsia="HG丸ｺﾞｼｯｸM-PRO" w:hAnsi="HG丸ｺﾞｼｯｸM-PRO" w:cs="HG丸ｺﾞｼｯｸM-PRO"/>
        <w:b w:val="0"/>
        <w:i w:val="0"/>
        <w:strike w:val="0"/>
        <w:dstrike w:val="0"/>
        <w:color w:val="000000"/>
        <w:sz w:val="21"/>
        <w:szCs w:val="21"/>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characterSpacingControl w:val="doNotCompress"/>
  <w:hdrShapeDefaults>
    <o:shapedefaults v:ext="edit" spidmax="1024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69A"/>
    <w:rsid w:val="00087992"/>
    <w:rsid w:val="000A2FAE"/>
    <w:rsid w:val="00106C48"/>
    <w:rsid w:val="00122D81"/>
    <w:rsid w:val="00155451"/>
    <w:rsid w:val="00274317"/>
    <w:rsid w:val="0043774E"/>
    <w:rsid w:val="0049031B"/>
    <w:rsid w:val="00497F46"/>
    <w:rsid w:val="006D2E42"/>
    <w:rsid w:val="00746A0B"/>
    <w:rsid w:val="0099269A"/>
    <w:rsid w:val="00BB62A3"/>
    <w:rsid w:val="00BD6FD3"/>
    <w:rsid w:val="00C1236F"/>
    <w:rsid w:val="00C764B7"/>
    <w:rsid w:val="00D03F14"/>
    <w:rsid w:val="00D82CE5"/>
    <w:rsid w:val="00DF5DC0"/>
    <w:rsid w:val="00E12300"/>
    <w:rsid w:val="00F762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1ACEE2D"/>
  <w15:docId w15:val="{8E2137F2-6395-4D0A-B8B9-8BC277806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33" w:line="259" w:lineRule="auto"/>
      <w:ind w:left="640" w:hanging="10"/>
    </w:pPr>
    <w:rPr>
      <w:rFonts w:ascii="HG丸ｺﾞｼｯｸM-PRO" w:eastAsia="HG丸ｺﾞｼｯｸM-PRO" w:hAnsi="HG丸ｺﾞｼｯｸM-PRO" w:cs="HG丸ｺﾞｼｯｸM-PRO"/>
      <w:color w:val="000000"/>
    </w:rPr>
  </w:style>
  <w:style w:type="paragraph" w:styleId="1">
    <w:name w:val="heading 1"/>
    <w:next w:val="a"/>
    <w:link w:val="10"/>
    <w:uiPriority w:val="9"/>
    <w:unhideWhenUsed/>
    <w:qFormat/>
    <w:pPr>
      <w:keepNext/>
      <w:keepLines/>
      <w:spacing w:after="61" w:line="259" w:lineRule="auto"/>
      <w:ind w:left="10" w:right="118" w:hanging="10"/>
      <w:jc w:val="center"/>
      <w:outlineLvl w:val="0"/>
    </w:pPr>
    <w:rPr>
      <w:rFonts w:ascii="HG丸ｺﾞｼｯｸM-PRO" w:eastAsia="HG丸ｺﾞｼｯｸM-PRO" w:hAnsi="HG丸ｺﾞｼｯｸM-PRO" w:cs="HG丸ｺﾞｼｯｸM-PRO"/>
      <w:color w:val="000000"/>
      <w:sz w:val="26"/>
    </w:rPr>
  </w:style>
  <w:style w:type="paragraph" w:styleId="2">
    <w:name w:val="heading 2"/>
    <w:next w:val="a"/>
    <w:link w:val="20"/>
    <w:uiPriority w:val="9"/>
    <w:unhideWhenUsed/>
    <w:qFormat/>
    <w:pPr>
      <w:keepNext/>
      <w:keepLines/>
      <w:spacing w:after="90" w:line="259" w:lineRule="auto"/>
      <w:ind w:left="10" w:hanging="10"/>
      <w:outlineLvl w:val="1"/>
    </w:pPr>
    <w:rPr>
      <w:rFonts w:ascii="HG丸ｺﾞｼｯｸM-PRO" w:eastAsia="HG丸ｺﾞｼｯｸM-PRO" w:hAnsi="HG丸ｺﾞｼｯｸM-PRO" w:cs="HG丸ｺﾞｼｯｸM-PRO"/>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HG丸ｺﾞｼｯｸM-PRO" w:eastAsia="HG丸ｺﾞｼｯｸM-PRO" w:hAnsi="HG丸ｺﾞｼｯｸM-PRO" w:cs="HG丸ｺﾞｼｯｸM-PRO"/>
      <w:color w:val="000000"/>
      <w:sz w:val="24"/>
    </w:rPr>
  </w:style>
  <w:style w:type="character" w:customStyle="1" w:styleId="10">
    <w:name w:val="見出し 1 (文字)"/>
    <w:link w:val="1"/>
    <w:rPr>
      <w:rFonts w:ascii="HG丸ｺﾞｼｯｸM-PRO" w:eastAsia="HG丸ｺﾞｼｯｸM-PRO" w:hAnsi="HG丸ｺﾞｼｯｸM-PRO" w:cs="HG丸ｺﾞｼｯｸM-PRO"/>
      <w:color w:val="000000"/>
      <w:sz w:val="26"/>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D03F14"/>
    <w:pPr>
      <w:tabs>
        <w:tab w:val="center" w:pos="4252"/>
        <w:tab w:val="right" w:pos="8504"/>
      </w:tabs>
      <w:snapToGrid w:val="0"/>
    </w:pPr>
  </w:style>
  <w:style w:type="character" w:customStyle="1" w:styleId="a4">
    <w:name w:val="ヘッダー (文字)"/>
    <w:basedOn w:val="a0"/>
    <w:link w:val="a3"/>
    <w:uiPriority w:val="99"/>
    <w:rsid w:val="00D03F14"/>
    <w:rPr>
      <w:rFonts w:ascii="HG丸ｺﾞｼｯｸM-PRO" w:eastAsia="HG丸ｺﾞｼｯｸM-PRO" w:hAnsi="HG丸ｺﾞｼｯｸM-PRO" w:cs="HG丸ｺﾞｼｯｸM-PRO"/>
      <w:color w:val="000000"/>
    </w:rPr>
  </w:style>
  <w:style w:type="paragraph" w:styleId="a5">
    <w:name w:val="footer"/>
    <w:basedOn w:val="a"/>
    <w:link w:val="a6"/>
    <w:uiPriority w:val="99"/>
    <w:unhideWhenUsed/>
    <w:rsid w:val="00D03F14"/>
    <w:pPr>
      <w:tabs>
        <w:tab w:val="center" w:pos="4252"/>
        <w:tab w:val="right" w:pos="8504"/>
      </w:tabs>
      <w:snapToGrid w:val="0"/>
    </w:pPr>
  </w:style>
  <w:style w:type="character" w:customStyle="1" w:styleId="a6">
    <w:name w:val="フッター (文字)"/>
    <w:basedOn w:val="a0"/>
    <w:link w:val="a5"/>
    <w:uiPriority w:val="99"/>
    <w:rsid w:val="00D03F14"/>
    <w:rPr>
      <w:rFonts w:ascii="HG丸ｺﾞｼｯｸM-PRO" w:eastAsia="HG丸ｺﾞｼｯｸM-PRO" w:hAnsi="HG丸ｺﾞｼｯｸM-PRO" w:cs="HG丸ｺﾞｼｯｸM-PRO"/>
      <w:color w:val="000000"/>
    </w:rPr>
  </w:style>
  <w:style w:type="paragraph" w:styleId="a7">
    <w:name w:val="Balloon Text"/>
    <w:basedOn w:val="a"/>
    <w:link w:val="a8"/>
    <w:uiPriority w:val="99"/>
    <w:semiHidden/>
    <w:unhideWhenUsed/>
    <w:rsid w:val="00497F46"/>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97F46"/>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0666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235</Words>
  <Characters>1341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院外処方箋疑義照会簡素化プロトコル　処方変更ルールについて</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院外処方箋疑義照会簡素化プロトコル　処方変更ルールについて</dc:title>
  <dc:subject/>
  <dc:creator>社会医療法人河北医療財団　河北総合病院　薬剤部</dc:creator>
  <cp:keywords/>
  <cp:lastModifiedBy>安井　みのり／Yasui,Minori</cp:lastModifiedBy>
  <cp:revision>6</cp:revision>
  <cp:lastPrinted>2023-01-19T05:33:00Z</cp:lastPrinted>
  <dcterms:created xsi:type="dcterms:W3CDTF">2023-01-04T06:29:00Z</dcterms:created>
  <dcterms:modified xsi:type="dcterms:W3CDTF">2023-02-28T10:23:00Z</dcterms:modified>
</cp:coreProperties>
</file>